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080" w:right="567"/>
        <w:jc w:val="center"/>
      </w:pPr>
      <w:r>
        <w:t>OPIS TECHNICZNY</w:t>
      </w:r>
      <w:r>
        <w:br w:type="textWrapping"/>
      </w:r>
      <w:r>
        <w:t xml:space="preserve"> DO PROJEKTU ZAGOSPODAROWANIA TERENU</w:t>
      </w:r>
    </w:p>
    <w:p/>
    <w:p>
      <w:pPr>
        <w:rPr>
          <w:b/>
          <w:i/>
        </w:rPr>
      </w:pPr>
    </w:p>
    <w:p>
      <w:pPr>
        <w:rPr>
          <w:b/>
          <w:i/>
        </w:rPr>
      </w:pPr>
    </w:p>
    <w:p>
      <w:pPr>
        <w:rPr>
          <w:b/>
          <w:i/>
        </w:rPr>
      </w:pPr>
    </w:p>
    <w:p>
      <w:pPr>
        <w:rPr>
          <w:rFonts w:hint="default"/>
          <w:lang w:val="pl-PL"/>
        </w:rPr>
      </w:pPr>
      <w:r>
        <w:rPr>
          <w:b/>
          <w:i/>
        </w:rPr>
        <w:t>Lokalizacja:</w:t>
      </w:r>
      <w:r>
        <w:t xml:space="preserve">  160</w:t>
      </w:r>
      <w:r>
        <w:rPr>
          <w:rFonts w:hint="default"/>
          <w:lang w:val="pl-PL"/>
        </w:rPr>
        <w:t>910_4.0110.AR_7.933/2</w:t>
      </w:r>
      <w:r>
        <w:t xml:space="preserve">, Gmina </w:t>
      </w:r>
      <w:r>
        <w:rPr>
          <w:rFonts w:hint="default"/>
          <w:lang w:val="pl-PL"/>
        </w:rPr>
        <w:t>Prószków</w:t>
      </w:r>
      <w:r>
        <w:t xml:space="preserve">, obręb </w:t>
      </w:r>
      <w:r>
        <w:rPr>
          <w:rFonts w:hint="default"/>
          <w:lang w:val="pl-PL"/>
        </w:rPr>
        <w:t>0110 Prószków</w:t>
      </w:r>
    </w:p>
    <w:p/>
    <w:p>
      <w:pPr>
        <w:jc w:val="left"/>
      </w:pPr>
      <w:r>
        <w:rPr>
          <w:b/>
          <w:i/>
        </w:rPr>
        <w:t>Inwestor:</w:t>
      </w:r>
      <w:r>
        <w:t xml:space="preserve">  </w:t>
      </w:r>
      <w:r>
        <w:rPr>
          <w:rFonts w:hint="default"/>
          <w:lang w:val="pl-PL"/>
        </w:rPr>
        <w:t>Dom Pomocy Społecznej w Prószkowie</w:t>
      </w:r>
      <w:r>
        <w:br w:type="textWrapping"/>
      </w:r>
      <w:r>
        <w:t xml:space="preserve">                  4</w:t>
      </w:r>
      <w:r>
        <w:rPr>
          <w:rFonts w:hint="default"/>
          <w:lang w:val="pl-PL"/>
        </w:rPr>
        <w:t>6-060 Prószków, ul. Zamkowa 8</w:t>
      </w:r>
      <w:r>
        <w:br w:type="textWrapping"/>
      </w:r>
    </w:p>
    <w:p>
      <w:pPr>
        <w:pStyle w:val="3"/>
      </w:pPr>
    </w:p>
    <w:p>
      <w:pPr>
        <w:pStyle w:val="3"/>
      </w:pPr>
    </w:p>
    <w:p/>
    <w:p>
      <w:pPr>
        <w:pStyle w:val="3"/>
      </w:pPr>
    </w:p>
    <w:p>
      <w:pPr>
        <w:pStyle w:val="3"/>
        <w:rPr>
          <w:i/>
        </w:rPr>
      </w:pPr>
      <w:r>
        <w:rPr>
          <w:i/>
        </w:rPr>
        <w:t>Podstawa opracowania:</w:t>
      </w:r>
    </w:p>
    <w:p>
      <w:pPr>
        <w:pStyle w:val="38"/>
        <w:spacing w:line="276" w:lineRule="auto"/>
        <w:ind w:left="142" w:hanging="142"/>
      </w:pPr>
      <w:r>
        <w:t xml:space="preserve">- zlecenie Inwestora;  </w:t>
      </w:r>
    </w:p>
    <w:p>
      <w:pPr>
        <w:pStyle w:val="38"/>
        <w:spacing w:line="276" w:lineRule="auto"/>
        <w:ind w:left="142" w:hanging="142"/>
      </w:pPr>
      <w:r>
        <w:t xml:space="preserve">- dokumentacja archiwalna budynków; </w:t>
      </w:r>
    </w:p>
    <w:p>
      <w:pPr>
        <w:pStyle w:val="38"/>
        <w:spacing w:line="276" w:lineRule="auto"/>
        <w:ind w:left="142" w:hanging="142"/>
      </w:pPr>
      <w:r>
        <w:t xml:space="preserve">- pomiary inwentaryzacyjne w terenie oraz informacje uzyskane od zleceniodawcy; </w:t>
      </w:r>
    </w:p>
    <w:p>
      <w:pPr>
        <w:pStyle w:val="38"/>
        <w:spacing w:line="276" w:lineRule="auto"/>
        <w:ind w:left="142" w:hanging="142"/>
        <w:rPr>
          <w:rFonts w:eastAsia="Calibri" w:cs="Times New Roman"/>
        </w:rPr>
      </w:pPr>
      <w:r>
        <w:t xml:space="preserve">- </w:t>
      </w:r>
      <w:r>
        <w:rPr>
          <w:rFonts w:eastAsia="Calibri" w:cs="Times New Roman"/>
        </w:rPr>
        <w:t xml:space="preserve">Rozporządzenie Ministra Infrastruktury z dnia 12 kwietnia 2002r. w sprawie warunków technicznych, jakim powinny odpowiadać budynki i ich usytuowanie (Dz. U. 2019.1065 </w:t>
      </w:r>
      <w:r>
        <w:rPr>
          <w:rFonts w:eastAsia="Calibri" w:cs="Times New Roman"/>
        </w:rPr>
        <w:br w:type="textWrapping"/>
      </w:r>
      <w:r>
        <w:rPr>
          <w:rFonts w:eastAsia="Calibri" w:cs="Times New Roman"/>
        </w:rPr>
        <w:t>z późn. zm.);</w:t>
      </w:r>
    </w:p>
    <w:p>
      <w:pPr>
        <w:pStyle w:val="38"/>
        <w:spacing w:line="276" w:lineRule="auto"/>
        <w:ind w:left="142" w:hanging="142"/>
        <w:rPr>
          <w:snapToGrid w:val="0"/>
        </w:rPr>
      </w:pPr>
      <w:r>
        <w:rPr>
          <w:snapToGrid w:val="0"/>
        </w:rPr>
        <w:t xml:space="preserve">- Rozporządzenie Ministra Spraw Wewnętrznych i Administracji z dnia 07 czerwca 2010 r. </w:t>
      </w:r>
      <w:r>
        <w:rPr>
          <w:snapToGrid w:val="0"/>
        </w:rPr>
        <w:br w:type="textWrapping"/>
      </w:r>
      <w:r>
        <w:rPr>
          <w:snapToGrid w:val="0"/>
        </w:rPr>
        <w:t>w sprawie ochrony przeciwpożarowej budynków, innych obiektów budowlanych i terenów (Dz. U. Nr 109, poz. 719);</w:t>
      </w:r>
    </w:p>
    <w:p>
      <w:pPr>
        <w:pStyle w:val="38"/>
        <w:spacing w:line="276" w:lineRule="auto"/>
        <w:ind w:left="142" w:hanging="142"/>
        <w:rPr>
          <w:rFonts w:eastAsia="Calibri" w:cs="Times New Roman"/>
        </w:rPr>
      </w:pPr>
      <w:r>
        <w:rPr>
          <w:lang w:eastAsia="pl-PL"/>
        </w:rPr>
        <w:t>- Rozporządzenie Ministra Spraw Wewnętrznych i Administracji z dnia 24 lipca 2009 r.</w:t>
      </w:r>
      <w:r>
        <w:rPr>
          <w:lang w:eastAsia="pl-PL"/>
        </w:rPr>
        <w:br w:type="textWrapping"/>
      </w:r>
      <w:r>
        <w:rPr>
          <w:lang w:eastAsia="pl-PL"/>
        </w:rPr>
        <w:t xml:space="preserve"> w sprawie przeciwpożarowego zaopatrzenia w wodę oraz dróg pożarowych (Dz.U.Nr 121 poz.1139);</w:t>
      </w:r>
    </w:p>
    <w:p>
      <w:pPr>
        <w:pStyle w:val="38"/>
        <w:spacing w:line="276" w:lineRule="auto"/>
        <w:ind w:left="142" w:hanging="142"/>
        <w:rPr>
          <w:rFonts w:eastAsia="Calibri" w:cs="Times New Roman"/>
        </w:rPr>
      </w:pPr>
      <w:r>
        <w:t xml:space="preserve">- </w:t>
      </w:r>
      <w:r>
        <w:rPr>
          <w:rFonts w:eastAsia="Calibri" w:cs="Times New Roman"/>
        </w:rPr>
        <w:t>Ustawa z dnia 7 lipca 1994 r. Prawo budowlane;</w:t>
      </w:r>
    </w:p>
    <w:p>
      <w:pPr>
        <w:jc w:val="left"/>
        <w:rPr>
          <w:rFonts w:eastAsiaTheme="majorEastAsia" w:cstheme="majorBidi"/>
          <w:b/>
          <w:bCs/>
          <w:szCs w:val="26"/>
        </w:rPr>
      </w:pPr>
      <w:r>
        <w:br w:type="page"/>
      </w:r>
    </w:p>
    <w:p>
      <w:pPr>
        <w:pStyle w:val="3"/>
      </w:pPr>
      <w:r>
        <w:t>1. Przedmiot opracowania</w:t>
      </w:r>
    </w:p>
    <w:p>
      <w:r>
        <w:t xml:space="preserve">Przedmiotem opracowania jest projekt </w:t>
      </w:r>
      <w:r>
        <w:rPr>
          <w:rFonts w:hint="default"/>
          <w:lang w:val="pl-PL"/>
        </w:rPr>
        <w:t>przebudowy wentylacji i klimatyzacji</w:t>
      </w:r>
      <w:r>
        <w:t xml:space="preserve"> w zabytkowym zamku w Prószkowie</w:t>
      </w:r>
      <w:r>
        <w:rPr>
          <w:rFonts w:hint="default"/>
          <w:lang w:val="pl-PL"/>
        </w:rPr>
        <w:t>, zlokalizowanym</w:t>
      </w:r>
      <w:r>
        <w:t xml:space="preserve"> przy ulicy Zamkowej 8, dz. nr 933/2 am. 7 obręb Prószków. Obecnie zamek pełni funkcję Domu Pomocy Społecznej. </w:t>
      </w:r>
    </w:p>
    <w:p>
      <w:pPr>
        <w:pStyle w:val="3"/>
      </w:pPr>
      <w:r>
        <w:t>2. Istniejący stan zagospodarowania działki</w:t>
      </w:r>
    </w:p>
    <w:p>
      <w:r>
        <w:t>Identyfikator działki: 160</w:t>
      </w:r>
      <w:r>
        <w:rPr>
          <w:rFonts w:hint="default"/>
          <w:lang w:val="pl-PL"/>
        </w:rPr>
        <w:t>910_4.0110.AR_7.933/2</w:t>
      </w:r>
      <w:r>
        <w:t xml:space="preserve">, Gmina </w:t>
      </w:r>
      <w:r>
        <w:rPr>
          <w:rFonts w:hint="default"/>
          <w:lang w:val="pl-PL"/>
        </w:rPr>
        <w:t>Prószków</w:t>
      </w:r>
      <w:r>
        <w:t xml:space="preserve">, obręb </w:t>
      </w:r>
      <w:r>
        <w:rPr>
          <w:rFonts w:hint="default"/>
          <w:lang w:val="pl-PL"/>
        </w:rPr>
        <w:t>0110 Prószków</w:t>
      </w:r>
    </w:p>
    <w:p>
      <w:pPr>
        <w:rPr>
          <w:rFonts w:hint="default"/>
          <w:lang w:val="pl-PL"/>
        </w:rPr>
      </w:pPr>
      <w:r>
        <w:t xml:space="preserve">Główny wjazd na działkę od strony wschodniej z ulicy Zamkowej. Na terenie działki znajduje się zabytkowy zamek pełniący funkcję domu pomocy społecznej. Teren uzbrojony jest w sieci wodociągową, kanalizacyjną, gazową oraz elektroenergetyczną oraz  posiada utwardzone ciągi komunikacyjne. </w:t>
      </w:r>
      <w:r>
        <w:rPr>
          <w:rFonts w:hint="default"/>
          <w:lang w:val="pl-PL"/>
        </w:rPr>
        <w:t xml:space="preserve">Na terenie inwestycji nie będą prowadzone prace wpływające na zagospodarowanie terenu. </w:t>
      </w:r>
    </w:p>
    <w:p>
      <w:pPr>
        <w:pStyle w:val="3"/>
      </w:pPr>
      <w:r>
        <w:t>3. Opis do  projektu zagospodarowania działki</w:t>
      </w:r>
    </w:p>
    <w:p>
      <w:pPr>
        <w:spacing w:line="240" w:lineRule="auto"/>
        <w:rPr>
          <w:rFonts w:hint="default"/>
          <w:lang w:val="pl-PL"/>
        </w:rPr>
      </w:pPr>
      <w:r>
        <w:t xml:space="preserve">Nie wprowadza się zmian w istniejące zagospodarowanie działki. </w:t>
      </w:r>
    </w:p>
    <w:p>
      <w:pPr>
        <w:pStyle w:val="3"/>
      </w:pPr>
      <w:r>
        <w:t>4. Zestawienie powierzchni poszczególnych części zagospodarowania działki</w:t>
      </w:r>
    </w:p>
    <w:p>
      <w:r>
        <w:rPr>
          <w:rFonts w:hint="default"/>
          <w:lang w:val="pl-PL"/>
        </w:rPr>
        <w:t>Nie dotyczy</w:t>
      </w:r>
      <w:r>
        <w:t xml:space="preserve">. Inwestycja nie ingeruje w istniejące zagospodarowanie terenu. </w:t>
      </w:r>
    </w:p>
    <w:p>
      <w:pPr>
        <w:pStyle w:val="3"/>
      </w:pPr>
      <w:r>
        <w:t>5. Dodatkowe informacje i dane</w:t>
      </w:r>
    </w:p>
    <w:p>
      <w:pPr>
        <w:pStyle w:val="4"/>
        <w:rPr>
          <w:color w:val="auto"/>
        </w:rPr>
      </w:pPr>
      <w:r>
        <w:rPr>
          <w:color w:val="auto"/>
        </w:rPr>
        <w:t>a) spełnienie wymagań zawartych w MPZP</w:t>
      </w:r>
    </w:p>
    <w:p>
      <w:pPr>
        <w:pStyle w:val="4"/>
        <w:rPr>
          <w:rFonts w:hint="default"/>
          <w:b w:val="0"/>
          <w:bCs w:val="0"/>
          <w:color w:val="auto"/>
          <w:lang w:val="pl-PL"/>
        </w:rPr>
      </w:pPr>
      <w:r>
        <w:rPr>
          <w:rFonts w:hint="default"/>
          <w:b w:val="0"/>
          <w:bCs w:val="0"/>
          <w:color w:val="auto"/>
          <w:lang w:val="pl-PL"/>
        </w:rPr>
        <w:t>Budynek Domu Pomocy Społecznej leży w obszarze 2UP - teren usług publicznych zatwierdzony Uchwałą nr XL/368/2018 Rady Miejskiej w Prószkowie z dnia 3 lipca 2018r. w sprawie uchwalenia zmiany miejscowego planu zagospodarowania przestrzennego Miasta Prószków (Dziennik Urzędowy Województwa Opolskiego z 2018r. poz. 2191) zmieniona uchwałą nr XXVII/185/2020 Rady Miejskiej w Prószkowie z dnia 30 października 2020r. (Dziennik Urzędowy Województwa Opolskiego z 2020r. poz. 3172) zmieniona uchwałą nr XXIX/208/2020 Rady Miejskiej w Prószkowie z dnia 18 grudnia 2020r.</w:t>
      </w:r>
    </w:p>
    <w:p>
      <w:pPr>
        <w:pStyle w:val="4"/>
      </w:pPr>
      <w:r>
        <w:t>b) informacje na temat ochrony konserwatorskiej</w:t>
      </w:r>
    </w:p>
    <w:p>
      <w:pPr>
        <w:rPr>
          <w:rFonts w:hint="default"/>
          <w:lang w:val="pl-PL"/>
        </w:rPr>
      </w:pPr>
      <w:r>
        <w:t xml:space="preserve">Przedmiotowy </w:t>
      </w:r>
      <w:r>
        <w:rPr>
          <w:rFonts w:hint="default"/>
          <w:lang w:val="pl-PL"/>
        </w:rPr>
        <w:t>budynek wpisany jest do rejestru zabytków nieruchomych województwa opolskiego pod numerem 114/54 decyzją z dnia 12.07.1954r.</w:t>
      </w:r>
    </w:p>
    <w:p>
      <w:pPr>
        <w:pStyle w:val="4"/>
        <w:rPr>
          <w:rStyle w:val="21"/>
          <w:b/>
          <w:bCs/>
        </w:rPr>
      </w:pPr>
      <w:r>
        <w:t xml:space="preserve">c) </w:t>
      </w:r>
      <w:r>
        <w:rPr>
          <w:rStyle w:val="21"/>
          <w:b/>
          <w:bCs/>
        </w:rPr>
        <w:t>dane określające wpływ eksploatacji górniczej</w:t>
      </w:r>
    </w:p>
    <w:p>
      <w:pPr>
        <w:rPr>
          <w:color w:val="auto"/>
        </w:rPr>
      </w:pPr>
      <w:r>
        <w:rPr>
          <w:color w:val="auto"/>
        </w:rPr>
        <w:t xml:space="preserve">Na przedmiotowym terenie oraz terenie przyległym nie występuje wpływ eksploatacji górniczej i nie znajduje się on w granicach terenu górniczego. </w:t>
      </w:r>
    </w:p>
    <w:p>
      <w:pPr>
        <w:pStyle w:val="4"/>
        <w:rPr>
          <w:rStyle w:val="21"/>
          <w:b/>
          <w:bCs/>
        </w:rPr>
      </w:pPr>
      <w:r>
        <w:t xml:space="preserve">d) </w:t>
      </w:r>
      <w:r>
        <w:rPr>
          <w:rStyle w:val="21"/>
          <w:b/>
          <w:bCs/>
        </w:rPr>
        <w:t>oddziaływanie na środowisko</w:t>
      </w:r>
    </w:p>
    <w:p>
      <w:pPr>
        <w:jc w:val="both"/>
      </w:pPr>
      <w:r>
        <w:t xml:space="preserve">Planowana inwestycja nie </w:t>
      </w:r>
      <w:r>
        <w:rPr>
          <w:rFonts w:hint="default"/>
          <w:lang w:val="pl-PL"/>
        </w:rPr>
        <w:t xml:space="preserve">należy do inwestycji mogących znacząco oddziaływać na środowisko, nie </w:t>
      </w:r>
      <w:r>
        <w:t xml:space="preserve">wpływa negatywnie na środowisko naturalne oraz na higienę i zdrowie użytkowników i ich otoczenia. </w:t>
      </w:r>
      <w:r>
        <w:rPr>
          <w:rFonts w:hint="default"/>
          <w:lang w:val="pl-PL"/>
        </w:rPr>
        <w:t>Zapewniona będzie ochrona przed uciążliwościami powodowanymi przez hałas, wibracje, zakłócenia elektryczne i promieniowanie, a także przed zanieczyszczeniami powietrza, wody i gleby.</w:t>
      </w:r>
      <w:r>
        <w:t xml:space="preserve"> Zastosowane w opracowaniu rozwiązania projektowe w pełni respektują przepisy dotyczące ochrony środowiska naturalnego. </w:t>
      </w:r>
    </w:p>
    <w:p>
      <w:pPr>
        <w:numPr>
          <w:ilvl w:val="0"/>
          <w:numId w:val="1"/>
        </w:numPr>
        <w:jc w:val="left"/>
        <w:rPr>
          <w:rStyle w:val="21"/>
        </w:rPr>
      </w:pPr>
      <w:r>
        <w:rPr>
          <w:rStyle w:val="21"/>
        </w:rPr>
        <w:t>Dane dotyczące warunków ochrony przeciwpożarowej</w:t>
      </w:r>
    </w:p>
    <w:p>
      <w:pPr>
        <w:bidi w:val="0"/>
        <w:rPr>
          <w:rFonts w:hint="default"/>
          <w:lang w:val="pl-PL" w:eastAsia="ar-SA"/>
        </w:rPr>
      </w:pPr>
      <w:r>
        <w:rPr>
          <w:rFonts w:hint="default"/>
          <w:lang w:val="pl-PL" w:eastAsia="ar-SA"/>
        </w:rPr>
        <w:t>Niniejsza inwestycja nie wpływa na zmianę warunków ochrony przeciwpożarowej.</w:t>
      </w:r>
    </w:p>
    <w:p>
      <w:pPr>
        <w:rPr>
          <w:b/>
        </w:rPr>
      </w:pPr>
      <w:r>
        <w:rPr>
          <w:b/>
        </w:rPr>
        <w:t>a) odległość od obiektów sąsiadujących</w:t>
      </w:r>
    </w:p>
    <w:p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Nie dotyczy. Zakres inwestycji nie wpływa na zmianę lokalizacji obiektu. Odległość od obiektów sąsiadujących bez zmian.</w:t>
      </w:r>
      <w:bookmarkStart w:id="0" w:name="_GoBack"/>
      <w:bookmarkEnd w:id="0"/>
    </w:p>
    <w:p>
      <w:pPr>
        <w:rPr>
          <w:b/>
        </w:rPr>
      </w:pPr>
      <w:r>
        <w:rPr>
          <w:b/>
        </w:rPr>
        <w:t>b) zaopatrzenie w wodę do zewnętrznego gaszenia pożaru</w:t>
      </w:r>
    </w:p>
    <w:p>
      <w:pPr>
        <w:rPr>
          <w:rFonts w:hint="default"/>
          <w:lang w:val="pl-PL"/>
        </w:rPr>
      </w:pPr>
      <w:r>
        <w:rPr>
          <w:rFonts w:hint="default"/>
          <w:lang w:val="pl-PL"/>
        </w:rPr>
        <w:t xml:space="preserve">Zaopatrzenie w wodę do zewnętrznego gaszenia pożaru bez zmian. </w:t>
      </w:r>
    </w:p>
    <w:p>
      <w:pPr>
        <w:rPr>
          <w:b/>
        </w:rPr>
      </w:pPr>
      <w:r>
        <w:rPr>
          <w:b/>
        </w:rPr>
        <w:t>c) drogi pożarowe</w:t>
      </w:r>
    </w:p>
    <w:p>
      <w:pPr>
        <w:rPr>
          <w:rFonts w:hint="default"/>
          <w:lang w:val="pl-PL"/>
        </w:rPr>
      </w:pPr>
      <w:r>
        <w:t>D</w:t>
      </w:r>
      <w:r>
        <w:rPr>
          <w:rFonts w:hint="default"/>
          <w:lang w:val="pl-PL"/>
        </w:rPr>
        <w:t>rogi pożarowe istniejące, bez zmian.</w:t>
      </w:r>
    </w:p>
    <w:p>
      <w:pPr>
        <w:pStyle w:val="25"/>
        <w:rPr>
          <w:rStyle w:val="21"/>
        </w:rPr>
      </w:pPr>
      <w:r>
        <w:rPr>
          <w:rStyle w:val="21"/>
        </w:rPr>
        <w:t>7. Inne informacje wynikające ze specyfiki, charakteru i stopnia skomplikowania obiektu budowlanego</w:t>
      </w:r>
    </w:p>
    <w:p>
      <w:pPr>
        <w:rPr>
          <w:rStyle w:val="21"/>
          <w:b w:val="0"/>
        </w:rPr>
      </w:pPr>
      <w:r>
        <w:rPr>
          <w:rStyle w:val="21"/>
          <w:b w:val="0"/>
        </w:rPr>
        <w:t>Nie dotyczy.</w:t>
      </w:r>
    </w:p>
    <w:p>
      <w:pPr>
        <w:pStyle w:val="3"/>
      </w:pPr>
      <w:r>
        <w:rPr>
          <w:rStyle w:val="27"/>
          <w:rFonts w:eastAsiaTheme="majorEastAsia" w:cstheme="majorBidi"/>
          <w:b/>
          <w:bCs/>
          <w:kern w:val="0"/>
          <w:lang w:eastAsia="en-US"/>
        </w:rPr>
        <w:t>8. Informacje o obszarze oddziaływania obiektu</w:t>
      </w:r>
      <w:r>
        <w:rPr>
          <w:szCs w:val="28"/>
        </w:rPr>
        <w:t xml:space="preserve"> </w:t>
      </w:r>
    </w:p>
    <w:p>
      <w:r>
        <w:t xml:space="preserve">Zakres oddziaływania planowanej inwestycji ograniczony zostanie do działki inwestora. Projektowana inwestycja nie będzie powodować przesłaniania i zacieniania pomieszczeń przeznaczonych na stały pobyt ludzi oraz nie będzie oddziaływać pod względem ppoż. na budynki sąsiednie. Zakres oddziaływania został określony na podstawie Rozporządzenia Ministra Infrastruktury z dnia 12 kwietnia 2002r w sprawie warunków technicznych, jakim powinny odpowiadać budynki i ich usytuowanie, </w:t>
      </w:r>
      <w:r>
        <w:rPr>
          <w:rFonts w:cs="Times New Roman"/>
        </w:rPr>
        <w:t>§</w:t>
      </w:r>
      <w:r>
        <w:t xml:space="preserve">12, </w:t>
      </w:r>
      <w:r>
        <w:rPr>
          <w:rFonts w:cs="Times New Roman"/>
        </w:rPr>
        <w:t>§</w:t>
      </w:r>
      <w:r>
        <w:t xml:space="preserve">13, </w:t>
      </w:r>
      <w:r>
        <w:rPr>
          <w:rFonts w:cs="Times New Roman"/>
        </w:rPr>
        <w:t>§</w:t>
      </w:r>
      <w:r>
        <w:t xml:space="preserve">60, </w:t>
      </w:r>
      <w:r>
        <w:rPr>
          <w:rFonts w:cs="Times New Roman"/>
        </w:rPr>
        <w:t>§</w:t>
      </w:r>
      <w:r>
        <w:t xml:space="preserve">271, </w:t>
      </w:r>
      <w:r>
        <w:rPr>
          <w:rFonts w:cs="Times New Roman"/>
        </w:rPr>
        <w:t>§</w:t>
      </w:r>
      <w:r>
        <w:t xml:space="preserve">272, </w:t>
      </w:r>
      <w:r>
        <w:rPr>
          <w:rFonts w:cs="Times New Roman"/>
        </w:rPr>
        <w:t>§</w:t>
      </w:r>
      <w:r>
        <w:t>273.</w:t>
      </w:r>
    </w:p>
    <w:p/>
    <w:p>
      <w:pPr>
        <w:pStyle w:val="9"/>
        <w:ind w:firstLine="4962"/>
        <w:jc w:val="center"/>
        <w:rPr>
          <w:b/>
        </w:rPr>
      </w:pPr>
      <w:r>
        <w:t>mgr inż. arch. Sabina Bagińska</w:t>
      </w:r>
    </w:p>
    <w:p>
      <w:pPr>
        <w:pStyle w:val="9"/>
        <w:ind w:firstLine="4962"/>
        <w:jc w:val="center"/>
        <w:rPr>
          <w:b/>
          <w:sz w:val="22"/>
        </w:rPr>
      </w:pPr>
      <w:r>
        <w:rPr>
          <w:b/>
          <w:sz w:val="22"/>
          <w:szCs w:val="22"/>
        </w:rPr>
        <w:t>nr up.06/OPOKK/2014</w:t>
      </w:r>
    </w:p>
    <w:sectPr>
      <w:footerReference r:id="rId5" w:type="default"/>
      <w:pgSz w:w="11906" w:h="16838"/>
      <w:pgMar w:top="1417" w:right="1417" w:bottom="1417" w:left="1417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504735"/>
      <w:docPartObj>
        <w:docPartGallery w:val="autotext"/>
      </w:docPartObj>
    </w:sdtPr>
    <w:sdtContent>
      <w:p>
        <w:pPr>
          <w:pStyle w:val="12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7CFA4A"/>
    <w:multiLevelType w:val="singleLevel"/>
    <w:tmpl w:val="717CFA4A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FC5080"/>
    <w:rsid w:val="0000627D"/>
    <w:rsid w:val="00006C9D"/>
    <w:rsid w:val="0001635B"/>
    <w:rsid w:val="00022813"/>
    <w:rsid w:val="00024725"/>
    <w:rsid w:val="00024AF3"/>
    <w:rsid w:val="00027A13"/>
    <w:rsid w:val="00031F05"/>
    <w:rsid w:val="00040466"/>
    <w:rsid w:val="000424C2"/>
    <w:rsid w:val="0004487C"/>
    <w:rsid w:val="00045220"/>
    <w:rsid w:val="00051C8D"/>
    <w:rsid w:val="0005665F"/>
    <w:rsid w:val="00060854"/>
    <w:rsid w:val="000612BD"/>
    <w:rsid w:val="00070420"/>
    <w:rsid w:val="0007085E"/>
    <w:rsid w:val="00071C83"/>
    <w:rsid w:val="00080A65"/>
    <w:rsid w:val="00085990"/>
    <w:rsid w:val="00086B7F"/>
    <w:rsid w:val="0008780C"/>
    <w:rsid w:val="000879BA"/>
    <w:rsid w:val="00092522"/>
    <w:rsid w:val="000967FE"/>
    <w:rsid w:val="000A3FAA"/>
    <w:rsid w:val="000A4EEF"/>
    <w:rsid w:val="000B0D05"/>
    <w:rsid w:val="000B5C97"/>
    <w:rsid w:val="000B63C1"/>
    <w:rsid w:val="000B66A9"/>
    <w:rsid w:val="000B6A70"/>
    <w:rsid w:val="000B7B0C"/>
    <w:rsid w:val="000B7BEB"/>
    <w:rsid w:val="000C1923"/>
    <w:rsid w:val="000C2A71"/>
    <w:rsid w:val="000C3710"/>
    <w:rsid w:val="000C5D31"/>
    <w:rsid w:val="000D0547"/>
    <w:rsid w:val="000E5164"/>
    <w:rsid w:val="000E7FE2"/>
    <w:rsid w:val="000F3338"/>
    <w:rsid w:val="000F56DE"/>
    <w:rsid w:val="00103E94"/>
    <w:rsid w:val="0011044B"/>
    <w:rsid w:val="001114D1"/>
    <w:rsid w:val="00112092"/>
    <w:rsid w:val="00114EE1"/>
    <w:rsid w:val="0011663A"/>
    <w:rsid w:val="001200EA"/>
    <w:rsid w:val="00130B80"/>
    <w:rsid w:val="00132EA7"/>
    <w:rsid w:val="001357A5"/>
    <w:rsid w:val="00140973"/>
    <w:rsid w:val="00142048"/>
    <w:rsid w:val="001432C9"/>
    <w:rsid w:val="00146AF2"/>
    <w:rsid w:val="00147F27"/>
    <w:rsid w:val="00153615"/>
    <w:rsid w:val="0015478D"/>
    <w:rsid w:val="001564DB"/>
    <w:rsid w:val="00164D75"/>
    <w:rsid w:val="00174DDF"/>
    <w:rsid w:val="00181412"/>
    <w:rsid w:val="00181F3E"/>
    <w:rsid w:val="00183F33"/>
    <w:rsid w:val="00187CBE"/>
    <w:rsid w:val="00190A92"/>
    <w:rsid w:val="00191A48"/>
    <w:rsid w:val="00193BED"/>
    <w:rsid w:val="00196A87"/>
    <w:rsid w:val="00197187"/>
    <w:rsid w:val="001A5835"/>
    <w:rsid w:val="001C051B"/>
    <w:rsid w:val="001C0D81"/>
    <w:rsid w:val="001C13D3"/>
    <w:rsid w:val="001C4ADF"/>
    <w:rsid w:val="001C652B"/>
    <w:rsid w:val="001D2D68"/>
    <w:rsid w:val="001D31DE"/>
    <w:rsid w:val="001D462E"/>
    <w:rsid w:val="001D6519"/>
    <w:rsid w:val="001E28E0"/>
    <w:rsid w:val="001E742C"/>
    <w:rsid w:val="001F2067"/>
    <w:rsid w:val="001F7EDF"/>
    <w:rsid w:val="0020044E"/>
    <w:rsid w:val="00200677"/>
    <w:rsid w:val="0020212D"/>
    <w:rsid w:val="00203578"/>
    <w:rsid w:val="00205C9D"/>
    <w:rsid w:val="00205E61"/>
    <w:rsid w:val="002171BC"/>
    <w:rsid w:val="002242BB"/>
    <w:rsid w:val="0022781B"/>
    <w:rsid w:val="0024171F"/>
    <w:rsid w:val="00241E8F"/>
    <w:rsid w:val="00243160"/>
    <w:rsid w:val="0024511D"/>
    <w:rsid w:val="00247540"/>
    <w:rsid w:val="0025088C"/>
    <w:rsid w:val="002513D2"/>
    <w:rsid w:val="00256F8D"/>
    <w:rsid w:val="002576C7"/>
    <w:rsid w:val="00257B7A"/>
    <w:rsid w:val="002600FC"/>
    <w:rsid w:val="002619C7"/>
    <w:rsid w:val="0026282F"/>
    <w:rsid w:val="00262933"/>
    <w:rsid w:val="00264241"/>
    <w:rsid w:val="002672E9"/>
    <w:rsid w:val="002700D6"/>
    <w:rsid w:val="00270D04"/>
    <w:rsid w:val="00272A1D"/>
    <w:rsid w:val="00273F7A"/>
    <w:rsid w:val="00275C3D"/>
    <w:rsid w:val="002808EE"/>
    <w:rsid w:val="00292925"/>
    <w:rsid w:val="002953A8"/>
    <w:rsid w:val="00296437"/>
    <w:rsid w:val="00296EA0"/>
    <w:rsid w:val="002A22B9"/>
    <w:rsid w:val="002A2561"/>
    <w:rsid w:val="002A478B"/>
    <w:rsid w:val="002B32E4"/>
    <w:rsid w:val="002B56D4"/>
    <w:rsid w:val="002B79A3"/>
    <w:rsid w:val="002C095B"/>
    <w:rsid w:val="002C2AC4"/>
    <w:rsid w:val="002C65E3"/>
    <w:rsid w:val="002C6800"/>
    <w:rsid w:val="002D177E"/>
    <w:rsid w:val="002D27C1"/>
    <w:rsid w:val="002D2A82"/>
    <w:rsid w:val="002D3DEB"/>
    <w:rsid w:val="002D7F98"/>
    <w:rsid w:val="002E2F30"/>
    <w:rsid w:val="002F2B78"/>
    <w:rsid w:val="00307448"/>
    <w:rsid w:val="00311446"/>
    <w:rsid w:val="0031383A"/>
    <w:rsid w:val="00315993"/>
    <w:rsid w:val="00316E4D"/>
    <w:rsid w:val="00327C95"/>
    <w:rsid w:val="00332756"/>
    <w:rsid w:val="00333949"/>
    <w:rsid w:val="0034315D"/>
    <w:rsid w:val="003459EB"/>
    <w:rsid w:val="003502A0"/>
    <w:rsid w:val="003515DD"/>
    <w:rsid w:val="00356A05"/>
    <w:rsid w:val="003572BE"/>
    <w:rsid w:val="00363BA8"/>
    <w:rsid w:val="003666ED"/>
    <w:rsid w:val="00373FF7"/>
    <w:rsid w:val="0037569E"/>
    <w:rsid w:val="00381645"/>
    <w:rsid w:val="003822BE"/>
    <w:rsid w:val="00382900"/>
    <w:rsid w:val="00383E1B"/>
    <w:rsid w:val="003874C1"/>
    <w:rsid w:val="00390ED9"/>
    <w:rsid w:val="00391C4F"/>
    <w:rsid w:val="00392176"/>
    <w:rsid w:val="0039306E"/>
    <w:rsid w:val="00393C60"/>
    <w:rsid w:val="00394B1B"/>
    <w:rsid w:val="00396BAF"/>
    <w:rsid w:val="003972F1"/>
    <w:rsid w:val="00397FB4"/>
    <w:rsid w:val="003A3221"/>
    <w:rsid w:val="003A41F5"/>
    <w:rsid w:val="003A59CF"/>
    <w:rsid w:val="003A5E08"/>
    <w:rsid w:val="003B36E8"/>
    <w:rsid w:val="003B44EE"/>
    <w:rsid w:val="003B56FC"/>
    <w:rsid w:val="003C0BFF"/>
    <w:rsid w:val="003C1DA2"/>
    <w:rsid w:val="003C6D08"/>
    <w:rsid w:val="003C6F45"/>
    <w:rsid w:val="003D223E"/>
    <w:rsid w:val="003D6641"/>
    <w:rsid w:val="003E0AAF"/>
    <w:rsid w:val="003E4AC3"/>
    <w:rsid w:val="003E4DD6"/>
    <w:rsid w:val="003F07E6"/>
    <w:rsid w:val="003F10B8"/>
    <w:rsid w:val="003F311D"/>
    <w:rsid w:val="00403A85"/>
    <w:rsid w:val="0040632F"/>
    <w:rsid w:val="004071D4"/>
    <w:rsid w:val="0041500D"/>
    <w:rsid w:val="00417069"/>
    <w:rsid w:val="00417C16"/>
    <w:rsid w:val="0042007A"/>
    <w:rsid w:val="004337B2"/>
    <w:rsid w:val="004407F8"/>
    <w:rsid w:val="00441DDD"/>
    <w:rsid w:val="004440B2"/>
    <w:rsid w:val="00445CB5"/>
    <w:rsid w:val="004468F5"/>
    <w:rsid w:val="00446C44"/>
    <w:rsid w:val="0045321B"/>
    <w:rsid w:val="00454A10"/>
    <w:rsid w:val="00457A81"/>
    <w:rsid w:val="0046051C"/>
    <w:rsid w:val="0046700C"/>
    <w:rsid w:val="0047405C"/>
    <w:rsid w:val="00475516"/>
    <w:rsid w:val="00480CE4"/>
    <w:rsid w:val="00483269"/>
    <w:rsid w:val="00484FDE"/>
    <w:rsid w:val="00493F1D"/>
    <w:rsid w:val="0049459B"/>
    <w:rsid w:val="004A14F3"/>
    <w:rsid w:val="004B3828"/>
    <w:rsid w:val="004B714A"/>
    <w:rsid w:val="004C0DC6"/>
    <w:rsid w:val="004C5DF4"/>
    <w:rsid w:val="004C6BCA"/>
    <w:rsid w:val="004C7A16"/>
    <w:rsid w:val="004E1DE2"/>
    <w:rsid w:val="004E4B37"/>
    <w:rsid w:val="004E71A4"/>
    <w:rsid w:val="004F38E1"/>
    <w:rsid w:val="004F4BE0"/>
    <w:rsid w:val="004F727A"/>
    <w:rsid w:val="00504C07"/>
    <w:rsid w:val="00504E4E"/>
    <w:rsid w:val="00507543"/>
    <w:rsid w:val="005138CE"/>
    <w:rsid w:val="00513A17"/>
    <w:rsid w:val="0052282C"/>
    <w:rsid w:val="00524100"/>
    <w:rsid w:val="00525494"/>
    <w:rsid w:val="00526E8B"/>
    <w:rsid w:val="00526ED5"/>
    <w:rsid w:val="0053151E"/>
    <w:rsid w:val="00536E1C"/>
    <w:rsid w:val="00554383"/>
    <w:rsid w:val="00555A75"/>
    <w:rsid w:val="0056128D"/>
    <w:rsid w:val="0056643D"/>
    <w:rsid w:val="00570D17"/>
    <w:rsid w:val="00570EB7"/>
    <w:rsid w:val="00575F85"/>
    <w:rsid w:val="00577CB0"/>
    <w:rsid w:val="00580B13"/>
    <w:rsid w:val="00594B07"/>
    <w:rsid w:val="00597507"/>
    <w:rsid w:val="005A1340"/>
    <w:rsid w:val="005B2C00"/>
    <w:rsid w:val="005B441C"/>
    <w:rsid w:val="005B7317"/>
    <w:rsid w:val="005C0E6A"/>
    <w:rsid w:val="005C283D"/>
    <w:rsid w:val="005C28B4"/>
    <w:rsid w:val="005D560F"/>
    <w:rsid w:val="005E1CBC"/>
    <w:rsid w:val="005E4A39"/>
    <w:rsid w:val="005E566C"/>
    <w:rsid w:val="005E5A54"/>
    <w:rsid w:val="005E6EFC"/>
    <w:rsid w:val="005F0407"/>
    <w:rsid w:val="005F3302"/>
    <w:rsid w:val="005F7EDF"/>
    <w:rsid w:val="0060011F"/>
    <w:rsid w:val="0060073C"/>
    <w:rsid w:val="00602531"/>
    <w:rsid w:val="00602EC8"/>
    <w:rsid w:val="006030D3"/>
    <w:rsid w:val="0060532E"/>
    <w:rsid w:val="006132D0"/>
    <w:rsid w:val="00613A14"/>
    <w:rsid w:val="00613CF0"/>
    <w:rsid w:val="00616E22"/>
    <w:rsid w:val="00617477"/>
    <w:rsid w:val="00621338"/>
    <w:rsid w:val="0062197B"/>
    <w:rsid w:val="00621F84"/>
    <w:rsid w:val="00622572"/>
    <w:rsid w:val="00622B62"/>
    <w:rsid w:val="00631716"/>
    <w:rsid w:val="0063346B"/>
    <w:rsid w:val="00634FC5"/>
    <w:rsid w:val="00642C6C"/>
    <w:rsid w:val="00646DEA"/>
    <w:rsid w:val="00653549"/>
    <w:rsid w:val="0065696F"/>
    <w:rsid w:val="006602E9"/>
    <w:rsid w:val="00674134"/>
    <w:rsid w:val="00680CBC"/>
    <w:rsid w:val="006933A4"/>
    <w:rsid w:val="006A0852"/>
    <w:rsid w:val="006C2345"/>
    <w:rsid w:val="006C25BA"/>
    <w:rsid w:val="006C5384"/>
    <w:rsid w:val="006C6009"/>
    <w:rsid w:val="006D4212"/>
    <w:rsid w:val="006D773A"/>
    <w:rsid w:val="006E1D01"/>
    <w:rsid w:val="006E435A"/>
    <w:rsid w:val="006E4C50"/>
    <w:rsid w:val="006E55D0"/>
    <w:rsid w:val="006E6C30"/>
    <w:rsid w:val="00721F18"/>
    <w:rsid w:val="00722883"/>
    <w:rsid w:val="00722C2F"/>
    <w:rsid w:val="007237B5"/>
    <w:rsid w:val="00730532"/>
    <w:rsid w:val="00730EA6"/>
    <w:rsid w:val="0073279F"/>
    <w:rsid w:val="00732E80"/>
    <w:rsid w:val="00737AB8"/>
    <w:rsid w:val="00741C30"/>
    <w:rsid w:val="00745F25"/>
    <w:rsid w:val="00753ECF"/>
    <w:rsid w:val="007617BF"/>
    <w:rsid w:val="00764490"/>
    <w:rsid w:val="007648F5"/>
    <w:rsid w:val="00783ABA"/>
    <w:rsid w:val="007857AB"/>
    <w:rsid w:val="00786A4C"/>
    <w:rsid w:val="00793B29"/>
    <w:rsid w:val="007A0F93"/>
    <w:rsid w:val="007A18BF"/>
    <w:rsid w:val="007A3747"/>
    <w:rsid w:val="007A5D5F"/>
    <w:rsid w:val="007A6FAF"/>
    <w:rsid w:val="007B0D5D"/>
    <w:rsid w:val="007B128A"/>
    <w:rsid w:val="007B3BE1"/>
    <w:rsid w:val="007B68B5"/>
    <w:rsid w:val="007B7F91"/>
    <w:rsid w:val="007C02EE"/>
    <w:rsid w:val="007C1505"/>
    <w:rsid w:val="007C2B58"/>
    <w:rsid w:val="007C6855"/>
    <w:rsid w:val="007E4117"/>
    <w:rsid w:val="007E4664"/>
    <w:rsid w:val="007E53BC"/>
    <w:rsid w:val="007E5DBA"/>
    <w:rsid w:val="007E6A5C"/>
    <w:rsid w:val="007E7BB7"/>
    <w:rsid w:val="007F3D2F"/>
    <w:rsid w:val="0080370F"/>
    <w:rsid w:val="008046F8"/>
    <w:rsid w:val="0081064B"/>
    <w:rsid w:val="00813A89"/>
    <w:rsid w:val="0081521B"/>
    <w:rsid w:val="00816F53"/>
    <w:rsid w:val="0081743F"/>
    <w:rsid w:val="00822BD6"/>
    <w:rsid w:val="00824771"/>
    <w:rsid w:val="008272F3"/>
    <w:rsid w:val="00834794"/>
    <w:rsid w:val="008415F3"/>
    <w:rsid w:val="00842051"/>
    <w:rsid w:val="0084706F"/>
    <w:rsid w:val="0085025A"/>
    <w:rsid w:val="00850429"/>
    <w:rsid w:val="0085557A"/>
    <w:rsid w:val="00855999"/>
    <w:rsid w:val="00856F29"/>
    <w:rsid w:val="00857D48"/>
    <w:rsid w:val="008641B9"/>
    <w:rsid w:val="0086796C"/>
    <w:rsid w:val="008735E7"/>
    <w:rsid w:val="00873A9B"/>
    <w:rsid w:val="00882565"/>
    <w:rsid w:val="00884D20"/>
    <w:rsid w:val="008910CB"/>
    <w:rsid w:val="00891D41"/>
    <w:rsid w:val="0089289B"/>
    <w:rsid w:val="0089475B"/>
    <w:rsid w:val="00895573"/>
    <w:rsid w:val="008A1F65"/>
    <w:rsid w:val="008A2301"/>
    <w:rsid w:val="008A4B56"/>
    <w:rsid w:val="008A6291"/>
    <w:rsid w:val="008B17A6"/>
    <w:rsid w:val="008B55FD"/>
    <w:rsid w:val="008B780C"/>
    <w:rsid w:val="008C0030"/>
    <w:rsid w:val="008C5366"/>
    <w:rsid w:val="008C62DE"/>
    <w:rsid w:val="008D6CA7"/>
    <w:rsid w:val="008E193E"/>
    <w:rsid w:val="008E75A5"/>
    <w:rsid w:val="008F057B"/>
    <w:rsid w:val="008F4AF8"/>
    <w:rsid w:val="008F608A"/>
    <w:rsid w:val="008F6171"/>
    <w:rsid w:val="00907D93"/>
    <w:rsid w:val="009144DA"/>
    <w:rsid w:val="0091563A"/>
    <w:rsid w:val="00923998"/>
    <w:rsid w:val="00925A62"/>
    <w:rsid w:val="00925DB2"/>
    <w:rsid w:val="00927358"/>
    <w:rsid w:val="009354D5"/>
    <w:rsid w:val="00935E01"/>
    <w:rsid w:val="00935F38"/>
    <w:rsid w:val="0093781D"/>
    <w:rsid w:val="009423DB"/>
    <w:rsid w:val="00944E2D"/>
    <w:rsid w:val="0094565A"/>
    <w:rsid w:val="00950C81"/>
    <w:rsid w:val="00952ED5"/>
    <w:rsid w:val="00956040"/>
    <w:rsid w:val="009573B0"/>
    <w:rsid w:val="00960FE8"/>
    <w:rsid w:val="00963621"/>
    <w:rsid w:val="009636DC"/>
    <w:rsid w:val="00982BE2"/>
    <w:rsid w:val="00987A71"/>
    <w:rsid w:val="009A0592"/>
    <w:rsid w:val="009A1A3A"/>
    <w:rsid w:val="009B1452"/>
    <w:rsid w:val="009B383F"/>
    <w:rsid w:val="009B3887"/>
    <w:rsid w:val="009B3EF8"/>
    <w:rsid w:val="009B6FD2"/>
    <w:rsid w:val="009B7E63"/>
    <w:rsid w:val="009C20AF"/>
    <w:rsid w:val="009C5C2F"/>
    <w:rsid w:val="009D5A11"/>
    <w:rsid w:val="009E0C06"/>
    <w:rsid w:val="009E21DD"/>
    <w:rsid w:val="009E6610"/>
    <w:rsid w:val="009F45DE"/>
    <w:rsid w:val="009F7611"/>
    <w:rsid w:val="00A0048F"/>
    <w:rsid w:val="00A02DBD"/>
    <w:rsid w:val="00A059C9"/>
    <w:rsid w:val="00A07F7C"/>
    <w:rsid w:val="00A11C4F"/>
    <w:rsid w:val="00A129EC"/>
    <w:rsid w:val="00A134ED"/>
    <w:rsid w:val="00A14023"/>
    <w:rsid w:val="00A160C2"/>
    <w:rsid w:val="00A24427"/>
    <w:rsid w:val="00A355C6"/>
    <w:rsid w:val="00A36874"/>
    <w:rsid w:val="00A3785C"/>
    <w:rsid w:val="00A4255F"/>
    <w:rsid w:val="00A4317D"/>
    <w:rsid w:val="00A5249E"/>
    <w:rsid w:val="00A526D1"/>
    <w:rsid w:val="00A610DA"/>
    <w:rsid w:val="00A61F11"/>
    <w:rsid w:val="00A6503C"/>
    <w:rsid w:val="00A7167E"/>
    <w:rsid w:val="00A71CC7"/>
    <w:rsid w:val="00A74048"/>
    <w:rsid w:val="00A77EAF"/>
    <w:rsid w:val="00A803EB"/>
    <w:rsid w:val="00A81DF5"/>
    <w:rsid w:val="00A925CF"/>
    <w:rsid w:val="00A97417"/>
    <w:rsid w:val="00A976C0"/>
    <w:rsid w:val="00AA326A"/>
    <w:rsid w:val="00AA431B"/>
    <w:rsid w:val="00AB3FC5"/>
    <w:rsid w:val="00AB4628"/>
    <w:rsid w:val="00AB723B"/>
    <w:rsid w:val="00AC3CFA"/>
    <w:rsid w:val="00AC407C"/>
    <w:rsid w:val="00AC5A06"/>
    <w:rsid w:val="00AC71D2"/>
    <w:rsid w:val="00AD077E"/>
    <w:rsid w:val="00AD3603"/>
    <w:rsid w:val="00AD3D4A"/>
    <w:rsid w:val="00AD4FB2"/>
    <w:rsid w:val="00AE04F9"/>
    <w:rsid w:val="00AE605C"/>
    <w:rsid w:val="00AF010E"/>
    <w:rsid w:val="00AF0373"/>
    <w:rsid w:val="00AF07BA"/>
    <w:rsid w:val="00AF24A3"/>
    <w:rsid w:val="00AF4E37"/>
    <w:rsid w:val="00AF6C35"/>
    <w:rsid w:val="00AF75A5"/>
    <w:rsid w:val="00B10464"/>
    <w:rsid w:val="00B126AC"/>
    <w:rsid w:val="00B1289B"/>
    <w:rsid w:val="00B155FA"/>
    <w:rsid w:val="00B173C5"/>
    <w:rsid w:val="00B178AE"/>
    <w:rsid w:val="00B2001D"/>
    <w:rsid w:val="00B3171A"/>
    <w:rsid w:val="00B32967"/>
    <w:rsid w:val="00B32BE2"/>
    <w:rsid w:val="00B42832"/>
    <w:rsid w:val="00B42F72"/>
    <w:rsid w:val="00B4356D"/>
    <w:rsid w:val="00B44358"/>
    <w:rsid w:val="00B44661"/>
    <w:rsid w:val="00B53309"/>
    <w:rsid w:val="00B62FA7"/>
    <w:rsid w:val="00B6414C"/>
    <w:rsid w:val="00B66529"/>
    <w:rsid w:val="00B6688E"/>
    <w:rsid w:val="00B71EF4"/>
    <w:rsid w:val="00B72279"/>
    <w:rsid w:val="00B77E58"/>
    <w:rsid w:val="00B96DB3"/>
    <w:rsid w:val="00BA139A"/>
    <w:rsid w:val="00BB23A9"/>
    <w:rsid w:val="00BB30AD"/>
    <w:rsid w:val="00BB4679"/>
    <w:rsid w:val="00BC51FB"/>
    <w:rsid w:val="00BC5EC8"/>
    <w:rsid w:val="00BC75FA"/>
    <w:rsid w:val="00BD02A4"/>
    <w:rsid w:val="00BD4395"/>
    <w:rsid w:val="00BE0D5D"/>
    <w:rsid w:val="00BE3DD4"/>
    <w:rsid w:val="00BE58FE"/>
    <w:rsid w:val="00BE6614"/>
    <w:rsid w:val="00BF05A0"/>
    <w:rsid w:val="00BF4425"/>
    <w:rsid w:val="00BF486B"/>
    <w:rsid w:val="00C021D0"/>
    <w:rsid w:val="00C062C4"/>
    <w:rsid w:val="00C13030"/>
    <w:rsid w:val="00C15991"/>
    <w:rsid w:val="00C16A57"/>
    <w:rsid w:val="00C23598"/>
    <w:rsid w:val="00C24E7E"/>
    <w:rsid w:val="00C25B4D"/>
    <w:rsid w:val="00C3144A"/>
    <w:rsid w:val="00C3394C"/>
    <w:rsid w:val="00C33DD4"/>
    <w:rsid w:val="00C34F61"/>
    <w:rsid w:val="00C36584"/>
    <w:rsid w:val="00C37CA1"/>
    <w:rsid w:val="00C406CD"/>
    <w:rsid w:val="00C43B31"/>
    <w:rsid w:val="00C5212E"/>
    <w:rsid w:val="00C632EE"/>
    <w:rsid w:val="00C64F14"/>
    <w:rsid w:val="00C65463"/>
    <w:rsid w:val="00C7312F"/>
    <w:rsid w:val="00C74D8E"/>
    <w:rsid w:val="00C75ED9"/>
    <w:rsid w:val="00C77174"/>
    <w:rsid w:val="00C83A6A"/>
    <w:rsid w:val="00C85F16"/>
    <w:rsid w:val="00C8692C"/>
    <w:rsid w:val="00C877AE"/>
    <w:rsid w:val="00C903D4"/>
    <w:rsid w:val="00C96430"/>
    <w:rsid w:val="00C967BE"/>
    <w:rsid w:val="00C9750A"/>
    <w:rsid w:val="00CB307E"/>
    <w:rsid w:val="00CB515B"/>
    <w:rsid w:val="00CC1537"/>
    <w:rsid w:val="00CC2143"/>
    <w:rsid w:val="00CC4652"/>
    <w:rsid w:val="00CC526A"/>
    <w:rsid w:val="00CC74EB"/>
    <w:rsid w:val="00CC75E7"/>
    <w:rsid w:val="00CC7A80"/>
    <w:rsid w:val="00CD186F"/>
    <w:rsid w:val="00CD5A05"/>
    <w:rsid w:val="00CD5F7B"/>
    <w:rsid w:val="00CD6150"/>
    <w:rsid w:val="00CD7B07"/>
    <w:rsid w:val="00CE44A1"/>
    <w:rsid w:val="00CF0CD2"/>
    <w:rsid w:val="00CF11AD"/>
    <w:rsid w:val="00CF5286"/>
    <w:rsid w:val="00CF577E"/>
    <w:rsid w:val="00CF6A6A"/>
    <w:rsid w:val="00CF7F36"/>
    <w:rsid w:val="00D0245B"/>
    <w:rsid w:val="00D05014"/>
    <w:rsid w:val="00D0671C"/>
    <w:rsid w:val="00D07E61"/>
    <w:rsid w:val="00D10E62"/>
    <w:rsid w:val="00D11792"/>
    <w:rsid w:val="00D14117"/>
    <w:rsid w:val="00D14C91"/>
    <w:rsid w:val="00D16839"/>
    <w:rsid w:val="00D16968"/>
    <w:rsid w:val="00D17250"/>
    <w:rsid w:val="00D25952"/>
    <w:rsid w:val="00D37A86"/>
    <w:rsid w:val="00D41BF0"/>
    <w:rsid w:val="00D41EED"/>
    <w:rsid w:val="00D43301"/>
    <w:rsid w:val="00D4620C"/>
    <w:rsid w:val="00D479A4"/>
    <w:rsid w:val="00D52D12"/>
    <w:rsid w:val="00D5418B"/>
    <w:rsid w:val="00D54F76"/>
    <w:rsid w:val="00D54FAB"/>
    <w:rsid w:val="00D558DD"/>
    <w:rsid w:val="00D61203"/>
    <w:rsid w:val="00D66C49"/>
    <w:rsid w:val="00D67B0B"/>
    <w:rsid w:val="00D7223B"/>
    <w:rsid w:val="00D76891"/>
    <w:rsid w:val="00D76919"/>
    <w:rsid w:val="00D84A03"/>
    <w:rsid w:val="00D84D13"/>
    <w:rsid w:val="00D90807"/>
    <w:rsid w:val="00D9094B"/>
    <w:rsid w:val="00D9460B"/>
    <w:rsid w:val="00D967C1"/>
    <w:rsid w:val="00DA3C72"/>
    <w:rsid w:val="00DA4774"/>
    <w:rsid w:val="00DA4AA8"/>
    <w:rsid w:val="00DA70EC"/>
    <w:rsid w:val="00DB2E65"/>
    <w:rsid w:val="00DB4EAD"/>
    <w:rsid w:val="00DC2DC9"/>
    <w:rsid w:val="00DC36DE"/>
    <w:rsid w:val="00DC7827"/>
    <w:rsid w:val="00DD2960"/>
    <w:rsid w:val="00DE6023"/>
    <w:rsid w:val="00DE751C"/>
    <w:rsid w:val="00DE7A28"/>
    <w:rsid w:val="00DF1B47"/>
    <w:rsid w:val="00DF2050"/>
    <w:rsid w:val="00DF3729"/>
    <w:rsid w:val="00DF6D52"/>
    <w:rsid w:val="00E03694"/>
    <w:rsid w:val="00E0376A"/>
    <w:rsid w:val="00E04D7F"/>
    <w:rsid w:val="00E05742"/>
    <w:rsid w:val="00E0586B"/>
    <w:rsid w:val="00E16450"/>
    <w:rsid w:val="00E2032D"/>
    <w:rsid w:val="00E20B41"/>
    <w:rsid w:val="00E2137D"/>
    <w:rsid w:val="00E21B24"/>
    <w:rsid w:val="00E23388"/>
    <w:rsid w:val="00E2605F"/>
    <w:rsid w:val="00E27DF8"/>
    <w:rsid w:val="00E3586E"/>
    <w:rsid w:val="00E35E60"/>
    <w:rsid w:val="00E410A9"/>
    <w:rsid w:val="00E444D9"/>
    <w:rsid w:val="00E520F9"/>
    <w:rsid w:val="00E54E47"/>
    <w:rsid w:val="00E61959"/>
    <w:rsid w:val="00E64F11"/>
    <w:rsid w:val="00E7391D"/>
    <w:rsid w:val="00E74BED"/>
    <w:rsid w:val="00E852EC"/>
    <w:rsid w:val="00E85902"/>
    <w:rsid w:val="00E87BBD"/>
    <w:rsid w:val="00E918B2"/>
    <w:rsid w:val="00E94F7B"/>
    <w:rsid w:val="00EA3F18"/>
    <w:rsid w:val="00EA4816"/>
    <w:rsid w:val="00EA698B"/>
    <w:rsid w:val="00EB1E37"/>
    <w:rsid w:val="00EB25CD"/>
    <w:rsid w:val="00EC0B03"/>
    <w:rsid w:val="00EC3034"/>
    <w:rsid w:val="00EC5B56"/>
    <w:rsid w:val="00ED4223"/>
    <w:rsid w:val="00ED5C62"/>
    <w:rsid w:val="00ED6939"/>
    <w:rsid w:val="00EE1910"/>
    <w:rsid w:val="00EE26A4"/>
    <w:rsid w:val="00EE2A12"/>
    <w:rsid w:val="00EE2A13"/>
    <w:rsid w:val="00EE4D1D"/>
    <w:rsid w:val="00F0088A"/>
    <w:rsid w:val="00F031AA"/>
    <w:rsid w:val="00F03F99"/>
    <w:rsid w:val="00F0697D"/>
    <w:rsid w:val="00F128EA"/>
    <w:rsid w:val="00F15358"/>
    <w:rsid w:val="00F1790D"/>
    <w:rsid w:val="00F17B05"/>
    <w:rsid w:val="00F21326"/>
    <w:rsid w:val="00F22134"/>
    <w:rsid w:val="00F24DC6"/>
    <w:rsid w:val="00F254F1"/>
    <w:rsid w:val="00F30AC4"/>
    <w:rsid w:val="00F3134F"/>
    <w:rsid w:val="00F406D8"/>
    <w:rsid w:val="00F4121E"/>
    <w:rsid w:val="00F42EE1"/>
    <w:rsid w:val="00F43622"/>
    <w:rsid w:val="00F465FF"/>
    <w:rsid w:val="00F50F21"/>
    <w:rsid w:val="00F51796"/>
    <w:rsid w:val="00F52FB8"/>
    <w:rsid w:val="00F542B7"/>
    <w:rsid w:val="00F55A25"/>
    <w:rsid w:val="00F62A3C"/>
    <w:rsid w:val="00F65EDD"/>
    <w:rsid w:val="00F6663B"/>
    <w:rsid w:val="00F6668E"/>
    <w:rsid w:val="00F7224A"/>
    <w:rsid w:val="00F93303"/>
    <w:rsid w:val="00FA1E6E"/>
    <w:rsid w:val="00FA32C0"/>
    <w:rsid w:val="00FA4582"/>
    <w:rsid w:val="00FA4D01"/>
    <w:rsid w:val="00FA6BAC"/>
    <w:rsid w:val="00FB062D"/>
    <w:rsid w:val="00FB1D01"/>
    <w:rsid w:val="00FC0C9C"/>
    <w:rsid w:val="00FC1D0D"/>
    <w:rsid w:val="00FC35DD"/>
    <w:rsid w:val="00FC3EEC"/>
    <w:rsid w:val="00FC403B"/>
    <w:rsid w:val="00FC5080"/>
    <w:rsid w:val="00FC58C8"/>
    <w:rsid w:val="00FC5D86"/>
    <w:rsid w:val="00FC6A6C"/>
    <w:rsid w:val="00FD3A7C"/>
    <w:rsid w:val="00FD5CEC"/>
    <w:rsid w:val="00FD675F"/>
    <w:rsid w:val="00FD6856"/>
    <w:rsid w:val="00FE2485"/>
    <w:rsid w:val="00FE3A22"/>
    <w:rsid w:val="00FE3A70"/>
    <w:rsid w:val="00FF5BAA"/>
    <w:rsid w:val="0DCA5DE2"/>
    <w:rsid w:val="0E205819"/>
    <w:rsid w:val="12F20BC3"/>
    <w:rsid w:val="23842C8D"/>
    <w:rsid w:val="289A5CEE"/>
    <w:rsid w:val="47602640"/>
    <w:rsid w:val="4C1B22C4"/>
    <w:rsid w:val="64E8721E"/>
    <w:rsid w:val="6AF5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eastAsiaTheme="minorHAnsi" w:cstheme="minorBidi"/>
      <w:sz w:val="24"/>
      <w:szCs w:val="22"/>
      <w:lang w:val="pl-PL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60" w:after="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320" w:after="120" w:line="240" w:lineRule="auto"/>
      <w:outlineLvl w:val="1"/>
    </w:pPr>
    <w:rPr>
      <w:rFonts w:eastAsiaTheme="majorEastAsia" w:cstheme="majorBidi"/>
      <w:b/>
      <w:bCs/>
      <w:szCs w:val="26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00" w:after="0" w:line="360" w:lineRule="auto"/>
      <w:outlineLvl w:val="2"/>
    </w:pPr>
    <w:rPr>
      <w:rFonts w:eastAsiaTheme="majorEastAsia" w:cstheme="majorBidi"/>
      <w:b/>
      <w:bCs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4"/>
    <w:uiPriority w:val="0"/>
    <w:pPr>
      <w:suppressAutoHyphens/>
      <w:spacing w:after="0" w:line="288" w:lineRule="auto"/>
    </w:pPr>
    <w:rPr>
      <w:rFonts w:eastAsia="Times New Roman" w:cs="Times New Roman"/>
      <w:kern w:val="1"/>
      <w:szCs w:val="24"/>
      <w:lang w:eastAsia="ar-SA"/>
    </w:rPr>
  </w:style>
  <w:style w:type="paragraph" w:styleId="8">
    <w:name w:val="Body Text First Indent"/>
    <w:basedOn w:val="7"/>
    <w:link w:val="30"/>
    <w:qFormat/>
    <w:uiPriority w:val="0"/>
    <w:pPr>
      <w:ind w:firstLine="283"/>
    </w:pPr>
  </w:style>
  <w:style w:type="paragraph" w:styleId="9">
    <w:name w:val="Body Text Indent"/>
    <w:basedOn w:val="1"/>
    <w:link w:val="29"/>
    <w:uiPriority w:val="0"/>
    <w:pPr>
      <w:suppressAutoHyphens/>
      <w:spacing w:after="120" w:line="240" w:lineRule="auto"/>
      <w:ind w:left="283"/>
      <w:jc w:val="left"/>
    </w:pPr>
    <w:rPr>
      <w:rFonts w:eastAsia="Times New Roman" w:cs="Times New Roman"/>
      <w:kern w:val="1"/>
      <w:szCs w:val="24"/>
      <w:lang w:eastAsia="ar-SA"/>
    </w:rPr>
  </w:style>
  <w:style w:type="character" w:styleId="10">
    <w:name w:val="endnote reference"/>
    <w:basedOn w:val="5"/>
    <w:semiHidden/>
    <w:unhideWhenUsed/>
    <w:uiPriority w:val="99"/>
    <w:rPr>
      <w:vertAlign w:val="superscript"/>
    </w:rPr>
  </w:style>
  <w:style w:type="paragraph" w:styleId="11">
    <w:name w:val="endnote text"/>
    <w:basedOn w:val="1"/>
    <w:link w:val="40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2">
    <w:name w:val="footer"/>
    <w:basedOn w:val="1"/>
    <w:link w:val="37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3">
    <w:name w:val="header"/>
    <w:basedOn w:val="1"/>
    <w:link w:val="36"/>
    <w:semiHidden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4">
    <w:name w:val="List"/>
    <w:basedOn w:val="7"/>
    <w:uiPriority w:val="0"/>
    <w:rPr>
      <w:rFonts w:cs="Mangal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l-PL"/>
    </w:rPr>
  </w:style>
  <w:style w:type="character" w:styleId="16">
    <w:name w:val="Strong"/>
    <w:qFormat/>
    <w:uiPriority w:val="22"/>
    <w:rPr>
      <w:b/>
      <w:bCs/>
    </w:rPr>
  </w:style>
  <w:style w:type="paragraph" w:styleId="17">
    <w:name w:val="Subtitle"/>
    <w:basedOn w:val="1"/>
    <w:next w:val="1"/>
    <w:link w:val="3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table" w:styleId="18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9">
    <w:name w:val="Title"/>
    <w:basedOn w:val="1"/>
    <w:next w:val="17"/>
    <w:link w:val="27"/>
    <w:qFormat/>
    <w:uiPriority w:val="0"/>
    <w:pPr>
      <w:suppressAutoHyphens/>
      <w:spacing w:before="120" w:after="120" w:line="240" w:lineRule="auto"/>
      <w:jc w:val="left"/>
    </w:pPr>
    <w:rPr>
      <w:rFonts w:eastAsia="Times New Roman" w:cs="Times New Roman"/>
      <w:b/>
      <w:bCs/>
      <w:kern w:val="1"/>
      <w:szCs w:val="20"/>
      <w:lang w:eastAsia="ar-SA"/>
    </w:rPr>
  </w:style>
  <w:style w:type="character" w:customStyle="1" w:styleId="20">
    <w:name w:val="Nagłówek 1 Znak"/>
    <w:basedOn w:val="5"/>
    <w:link w:val="2"/>
    <w:uiPriority w:val="9"/>
    <w:rPr>
      <w:rFonts w:ascii="Times New Roman" w:hAnsi="Times New Roman" w:eastAsiaTheme="majorEastAsia" w:cstheme="majorBidi"/>
      <w:b/>
      <w:bCs/>
      <w:sz w:val="28"/>
      <w:szCs w:val="28"/>
    </w:rPr>
  </w:style>
  <w:style w:type="character" w:customStyle="1" w:styleId="21">
    <w:name w:val="Nagłówek 2 Znak"/>
    <w:basedOn w:val="5"/>
    <w:link w:val="3"/>
    <w:qFormat/>
    <w:uiPriority w:val="0"/>
    <w:rPr>
      <w:rFonts w:ascii="Times New Roman" w:hAnsi="Times New Roman" w:eastAsiaTheme="majorEastAsia" w:cstheme="majorBidi"/>
      <w:b/>
      <w:bCs/>
      <w:sz w:val="24"/>
      <w:szCs w:val="26"/>
    </w:rPr>
  </w:style>
  <w:style w:type="character" w:customStyle="1" w:styleId="22">
    <w:name w:val="Nagłówek 3 Znak"/>
    <w:basedOn w:val="5"/>
    <w:link w:val="4"/>
    <w:uiPriority w:val="9"/>
    <w:rPr>
      <w:rFonts w:ascii="Times New Roman" w:hAnsi="Times New Roman" w:eastAsiaTheme="majorEastAsia" w:cstheme="majorBidi"/>
      <w:b/>
      <w:bCs/>
      <w:sz w:val="24"/>
    </w:rPr>
  </w:style>
  <w:style w:type="paragraph" w:styleId="23">
    <w:name w:val="List Paragraph"/>
    <w:basedOn w:val="1"/>
    <w:qFormat/>
    <w:uiPriority w:val="34"/>
    <w:pPr>
      <w:spacing w:after="0" w:line="259" w:lineRule="auto"/>
      <w:ind w:left="720"/>
      <w:contextualSpacing/>
      <w:jc w:val="left"/>
    </w:pPr>
  </w:style>
  <w:style w:type="character" w:customStyle="1" w:styleId="24">
    <w:name w:val="Tekst podstawowy Znak"/>
    <w:basedOn w:val="5"/>
    <w:link w:val="7"/>
    <w:uiPriority w:val="0"/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paragraph" w:customStyle="1" w:styleId="25">
    <w:name w:val="Numeracja 1"/>
    <w:basedOn w:val="14"/>
    <w:qFormat/>
    <w:uiPriority w:val="0"/>
    <w:pPr>
      <w:spacing w:after="120"/>
      <w:ind w:left="360" w:hanging="360"/>
    </w:pPr>
  </w:style>
  <w:style w:type="character" w:customStyle="1" w:styleId="26">
    <w:name w:val="Tytuł Znak"/>
    <w:basedOn w:val="5"/>
    <w:link w:val="19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7">
    <w:name w:val="Tytuł Znak1"/>
    <w:basedOn w:val="5"/>
    <w:link w:val="19"/>
    <w:qFormat/>
    <w:uiPriority w:val="0"/>
    <w:rPr>
      <w:rFonts w:ascii="Times New Roman" w:hAnsi="Times New Roman" w:eastAsia="Times New Roman" w:cs="Times New Roman"/>
      <w:b/>
      <w:bCs/>
      <w:kern w:val="1"/>
      <w:sz w:val="24"/>
      <w:szCs w:val="20"/>
      <w:lang w:eastAsia="ar-SA"/>
    </w:rPr>
  </w:style>
  <w:style w:type="character" w:customStyle="1" w:styleId="28">
    <w:name w:val="Tekst podstawowy wcięty Znak"/>
    <w:basedOn w:val="5"/>
    <w:link w:val="9"/>
    <w:semiHidden/>
    <w:qFormat/>
    <w:uiPriority w:val="99"/>
    <w:rPr>
      <w:rFonts w:ascii="Times New Roman" w:hAnsi="Times New Roman"/>
      <w:sz w:val="24"/>
    </w:rPr>
  </w:style>
  <w:style w:type="character" w:customStyle="1" w:styleId="29">
    <w:name w:val="Tekst podstawowy wcięty Znak1"/>
    <w:basedOn w:val="5"/>
    <w:link w:val="9"/>
    <w:uiPriority w:val="0"/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character" w:customStyle="1" w:styleId="30">
    <w:name w:val="Tekst podstawowy z wcięciem Znak"/>
    <w:basedOn w:val="24"/>
    <w:link w:val="8"/>
    <w:uiPriority w:val="0"/>
  </w:style>
  <w:style w:type="paragraph" w:customStyle="1" w:styleId="31">
    <w:name w:val="Lista 1"/>
    <w:basedOn w:val="14"/>
    <w:uiPriority w:val="0"/>
    <w:pPr>
      <w:spacing w:after="120"/>
      <w:ind w:left="360" w:hanging="360"/>
    </w:pPr>
  </w:style>
  <w:style w:type="paragraph" w:customStyle="1" w:styleId="32">
    <w:name w:val="Wysunięcie tekstu"/>
    <w:basedOn w:val="7"/>
    <w:uiPriority w:val="0"/>
    <w:pPr>
      <w:tabs>
        <w:tab w:val="left" w:pos="0"/>
      </w:tabs>
      <w:ind w:left="567" w:hanging="283"/>
    </w:pPr>
  </w:style>
  <w:style w:type="paragraph" w:customStyle="1" w:styleId="33">
    <w:name w:val="Standard"/>
    <w:uiPriority w:val="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val="pl-PL" w:eastAsia="zh-CN" w:bidi="hi-IN"/>
    </w:rPr>
  </w:style>
  <w:style w:type="paragraph" w:customStyle="1" w:styleId="34">
    <w:name w:val="Styl Wyjustowany"/>
    <w:basedOn w:val="1"/>
    <w:uiPriority w:val="0"/>
    <w:pPr>
      <w:spacing w:after="0" w:line="360" w:lineRule="auto"/>
    </w:pPr>
    <w:rPr>
      <w:rFonts w:eastAsia="Times New Roman" w:cs="Times New Roman"/>
      <w:szCs w:val="20"/>
      <w:lang w:eastAsia="pl-PL"/>
    </w:rPr>
  </w:style>
  <w:style w:type="character" w:customStyle="1" w:styleId="35">
    <w:name w:val="Podtytuł Znak"/>
    <w:basedOn w:val="5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36">
    <w:name w:val="Nagłówek Znak"/>
    <w:basedOn w:val="5"/>
    <w:link w:val="13"/>
    <w:semiHidden/>
    <w:qFormat/>
    <w:uiPriority w:val="99"/>
    <w:rPr>
      <w:rFonts w:ascii="Times New Roman" w:hAnsi="Times New Roman"/>
      <w:sz w:val="24"/>
    </w:rPr>
  </w:style>
  <w:style w:type="character" w:customStyle="1" w:styleId="37">
    <w:name w:val="Stopka Znak"/>
    <w:basedOn w:val="5"/>
    <w:link w:val="12"/>
    <w:qFormat/>
    <w:uiPriority w:val="99"/>
    <w:rPr>
      <w:rFonts w:ascii="Times New Roman" w:hAnsi="Times New Roman"/>
      <w:sz w:val="24"/>
    </w:rPr>
  </w:style>
  <w:style w:type="paragraph" w:styleId="38">
    <w:name w:val="No Spacing"/>
    <w:qFormat/>
    <w:uiPriority w:val="1"/>
    <w:pPr>
      <w:spacing w:after="0" w:line="240" w:lineRule="auto"/>
      <w:jc w:val="both"/>
    </w:pPr>
    <w:rPr>
      <w:rFonts w:ascii="Times New Roman" w:hAnsi="Times New Roman" w:eastAsiaTheme="minorHAnsi" w:cstheme="minorBidi"/>
      <w:sz w:val="24"/>
      <w:szCs w:val="22"/>
      <w:lang w:val="pl-PL" w:eastAsia="en-US" w:bidi="ar-SA"/>
    </w:rPr>
  </w:style>
  <w:style w:type="character" w:customStyle="1" w:styleId="39">
    <w:name w:val="Character Style 1"/>
    <w:qFormat/>
    <w:uiPriority w:val="0"/>
    <w:rPr>
      <w:spacing w:val="11"/>
      <w:szCs w:val="24"/>
    </w:rPr>
  </w:style>
  <w:style w:type="character" w:customStyle="1" w:styleId="40">
    <w:name w:val="Tekst przypisu końcowego Znak"/>
    <w:basedOn w:val="5"/>
    <w:link w:val="11"/>
    <w:semiHidden/>
    <w:qFormat/>
    <w:uiPriority w:val="99"/>
    <w:rPr>
      <w:rFonts w:ascii="Times New Roman" w:hAnsi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B9102-73D2-4299-BDDE-06BB875BBB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1029</Words>
  <Characters>6177</Characters>
  <Lines>51</Lines>
  <Paragraphs>14</Paragraphs>
  <TotalTime>137</TotalTime>
  <ScaleCrop>false</ScaleCrop>
  <LinksUpToDate>false</LinksUpToDate>
  <CharactersWithSpaces>7192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2020-02-10T09:15:00Z</dcterms:created>
  <dc:creator>FIRMA</dc:creator>
  <cp:lastModifiedBy>Marcin Hołówka</cp:lastModifiedBy>
  <cp:lastPrinted>2023-04-12T06:40:00Z</cp:lastPrinted>
  <dcterms:modified xsi:type="dcterms:W3CDTF">2024-03-22T09:54:50Z</dcterms:modified>
  <cp:revision>571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1045-12.2.0.13489</vt:lpwstr>
  </property>
  <property fmtid="{D5CDD505-2E9C-101B-9397-08002B2CF9AE}" pid="3" name="ICV">
    <vt:lpwstr>48DFF1551E6F42D39D39A27875E12F12_12</vt:lpwstr>
  </property>
</Properties>
</file>